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3CAE7402" w:rsidR="00F445B1" w:rsidRPr="00975241" w:rsidRDefault="008B47E2" w:rsidP="008D660B">
            <w:r>
              <w:rPr>
                <w:rStyle w:val="Firstpagetablebold"/>
              </w:rPr>
              <w:t>17 April</w:t>
            </w:r>
            <w:r w:rsidR="000469B5">
              <w:rPr>
                <w:rStyle w:val="Firstpagetablebold"/>
              </w:rPr>
              <w:t xml:space="preserve"> </w:t>
            </w:r>
            <w:r w:rsidR="00340D9D">
              <w:rPr>
                <w:rStyle w:val="Firstpagetablebold"/>
              </w:rPr>
              <w:t>20</w:t>
            </w:r>
            <w:r w:rsidR="00982640">
              <w:rPr>
                <w:rStyle w:val="Firstpagetablebold"/>
              </w:rPr>
              <w:t>2</w:t>
            </w:r>
            <w:r w:rsidR="000469B5">
              <w:rPr>
                <w:rStyle w:val="Firstpagetablebold"/>
              </w:rPr>
              <w:t>4</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28A325AD" w:rsidR="00F445B1" w:rsidRPr="001356F1" w:rsidRDefault="00D5727C" w:rsidP="00563A10">
            <w:pPr>
              <w:rPr>
                <w:rStyle w:val="Firstpagetablebold"/>
              </w:rPr>
            </w:pPr>
            <w:r>
              <w:rPr>
                <w:rStyle w:val="Firstpagetablebold"/>
              </w:rPr>
              <w:t>Housing and Homelessness</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53EAE5D9" w:rsidR="00F445B1" w:rsidRPr="00664FDE" w:rsidRDefault="008B47E2" w:rsidP="00563A10">
            <w:pPr>
              <w:autoSpaceDE w:val="0"/>
              <w:autoSpaceDN w:val="0"/>
              <w:adjustRightInd w:val="0"/>
              <w:spacing w:after="0"/>
              <w:rPr>
                <w:rStyle w:val="Firstpagetablebold"/>
              </w:rPr>
            </w:pPr>
            <w:r>
              <w:rPr>
                <w:b/>
              </w:rPr>
              <w:t>Housing Ombudsman Complaint Handling Code Self-Assessment</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02D93AB0" w:rsidR="001D14DE" w:rsidRPr="00694F86" w:rsidRDefault="00625C01" w:rsidP="00D5727C">
            <w:pPr>
              <w:rPr>
                <w:rFonts w:cs="Arial"/>
              </w:rPr>
            </w:pPr>
            <w:r>
              <w:rPr>
                <w:rFonts w:cs="Arial"/>
              </w:rPr>
              <w:t xml:space="preserve">Cllr </w:t>
            </w:r>
            <w:r w:rsidR="00D5727C">
              <w:rPr>
                <w:rFonts w:cs="Arial"/>
              </w:rPr>
              <w:t>Lizzy Diggins</w:t>
            </w:r>
            <w:r>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7502F302" w:rsidR="00E821EA" w:rsidRDefault="008D660B" w:rsidP="00563A10">
            <w:pPr>
              <w:spacing w:after="0"/>
              <w:rPr>
                <w:rFonts w:cs="Arial"/>
                <w:color w:val="auto"/>
              </w:rPr>
            </w:pPr>
            <w:r>
              <w:rPr>
                <w:rFonts w:cs="Arial"/>
                <w:color w:val="auto"/>
              </w:rPr>
              <w:t xml:space="preserve">Cllr </w:t>
            </w:r>
            <w:r w:rsidR="00D5727C">
              <w:rPr>
                <w:rFonts w:cs="Arial"/>
                <w:color w:val="auto"/>
              </w:rPr>
              <w:t>Linda Smith</w:t>
            </w:r>
            <w:r>
              <w:rPr>
                <w:rFonts w:cs="Arial"/>
                <w:color w:val="auto"/>
              </w:rPr>
              <w:t xml:space="preserve">, Cabinet Member for </w:t>
            </w:r>
            <w:r w:rsidR="00D5727C">
              <w:rPr>
                <w:rFonts w:cs="Arial"/>
                <w:color w:val="auto"/>
              </w:rPr>
              <w:t>Housing</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63980782" w14:textId="12AB5AE1" w:rsidR="00347767" w:rsidRPr="00694F86" w:rsidRDefault="00EE7410" w:rsidP="00563A10">
            <w:pPr>
              <w:autoSpaceDE w:val="0"/>
              <w:autoSpaceDN w:val="0"/>
              <w:adjustRightInd w:val="0"/>
              <w:spacing w:after="0"/>
              <w:rPr>
                <w:rFonts w:cs="Arial"/>
                <w:color w:val="auto"/>
                <w:sz w:val="12"/>
              </w:rPr>
            </w:pPr>
            <w:r>
              <w:t>Support Thriving Communities</w:t>
            </w:r>
            <w:r w:rsidR="008B47E2">
              <w:t xml:space="preserve"> </w:t>
            </w: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E27FD1F" w:rsidR="00D5547E" w:rsidRPr="00B40248" w:rsidRDefault="000469B5" w:rsidP="00563A10">
            <w:pPr>
              <w:rPr>
                <w:rFonts w:cs="Arial"/>
                <w:color w:val="auto"/>
              </w:rPr>
            </w:pPr>
            <w:r>
              <w:t>Housing, Homelessness &amp; Rough Sleeping Strategy 2023-28</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4E115BB5" w14:textId="018B916C" w:rsidR="00D5727C" w:rsidRDefault="00625C01" w:rsidP="002C6EF5">
      <w:pPr>
        <w:pStyle w:val="ListParagraph"/>
        <w:numPr>
          <w:ilvl w:val="0"/>
          <w:numId w:val="15"/>
        </w:numPr>
        <w:tabs>
          <w:tab w:val="clear" w:pos="426"/>
        </w:tabs>
        <w:spacing w:after="0"/>
        <w:contextualSpacing/>
        <w:jc w:val="both"/>
      </w:pPr>
      <w:r>
        <w:t xml:space="preserve">The </w:t>
      </w:r>
      <w:r w:rsidR="00D5727C">
        <w:t>Housing and Homlessness</w:t>
      </w:r>
      <w:r>
        <w:t xml:space="preserve"> Panel met on </w:t>
      </w:r>
      <w:r w:rsidR="000469B5">
        <w:t>07 March 2024</w:t>
      </w:r>
      <w:r>
        <w:t xml:space="preserve"> </w:t>
      </w:r>
      <w:r w:rsidR="008B47E2">
        <w:t>to consider a report concerning the Housing Ombudsman Complaint Handling Code Self-Assessment. It was recommended that the Panel consider the report and agree any recommendations.</w:t>
      </w:r>
    </w:p>
    <w:p w14:paraId="2A438D46" w14:textId="77777777" w:rsidR="001B32D3" w:rsidRDefault="001B32D3" w:rsidP="001B32D3">
      <w:pPr>
        <w:pStyle w:val="ListParagraph"/>
        <w:numPr>
          <w:ilvl w:val="0"/>
          <w:numId w:val="0"/>
        </w:numPr>
        <w:tabs>
          <w:tab w:val="clear" w:pos="426"/>
        </w:tabs>
        <w:spacing w:after="0"/>
        <w:ind w:left="720"/>
        <w:contextualSpacing/>
      </w:pPr>
    </w:p>
    <w:p w14:paraId="51666445" w14:textId="304BFBDD" w:rsidR="008B47E2" w:rsidRDefault="004E5ECC" w:rsidP="00CF2E34">
      <w:pPr>
        <w:pStyle w:val="ListParagraph"/>
        <w:numPr>
          <w:ilvl w:val="0"/>
          <w:numId w:val="15"/>
        </w:numPr>
        <w:spacing w:after="0"/>
        <w:contextualSpacing/>
        <w:jc w:val="both"/>
        <w:rPr>
          <w:b/>
          <w:color w:val="auto"/>
        </w:rPr>
      </w:pPr>
      <w:r>
        <w:t xml:space="preserve">The Panel would like to thank Councillor </w:t>
      </w:r>
      <w:r w:rsidR="00D5727C">
        <w:t>Linda Smith</w:t>
      </w:r>
      <w:r>
        <w:t xml:space="preserve"> (Cabinet Member for </w:t>
      </w:r>
      <w:r w:rsidR="00D5727C">
        <w:t>Housing</w:t>
      </w:r>
      <w:r>
        <w:t>)</w:t>
      </w:r>
      <w:r w:rsidR="008B47E2">
        <w:t xml:space="preserve"> and Bill Graves (Landlord Services Manager)</w:t>
      </w:r>
      <w:r w:rsidR="002C6EF5">
        <w:t xml:space="preserve"> </w:t>
      </w:r>
      <w:r w:rsidR="00D5727C">
        <w:t>for attending the meeting to</w:t>
      </w:r>
      <w:r w:rsidR="00B51512">
        <w:t xml:space="preserve"> </w:t>
      </w:r>
      <w:r w:rsidR="001B32D3">
        <w:t xml:space="preserve">present and </w:t>
      </w:r>
      <w:r>
        <w:t>answer questions.</w:t>
      </w:r>
      <w:r w:rsidR="008B47E2">
        <w:t xml:space="preserve"> </w:t>
      </w:r>
      <w:r w:rsidR="00C10094">
        <w:br/>
      </w:r>
    </w:p>
    <w:p w14:paraId="7607688C" w14:textId="3D1E9A18" w:rsidR="008B47E2" w:rsidRPr="008B47E2" w:rsidRDefault="008B47E2" w:rsidP="008B47E2">
      <w:pPr>
        <w:pStyle w:val="ListParagraph"/>
        <w:numPr>
          <w:ilvl w:val="0"/>
          <w:numId w:val="0"/>
        </w:numPr>
        <w:ind w:left="360"/>
        <w:rPr>
          <w:b/>
          <w:color w:val="auto"/>
        </w:rPr>
      </w:pPr>
    </w:p>
    <w:p w14:paraId="70F1599A" w14:textId="77777777" w:rsidR="008B47E2" w:rsidRDefault="008B47E2" w:rsidP="008B47E2">
      <w:pPr>
        <w:spacing w:after="0"/>
        <w:contextualSpacing/>
        <w:jc w:val="both"/>
        <w:rPr>
          <w:b/>
          <w:color w:val="auto"/>
        </w:rPr>
      </w:pPr>
    </w:p>
    <w:p w14:paraId="6B9361CF" w14:textId="77777777" w:rsidR="008B47E2" w:rsidRDefault="008B47E2" w:rsidP="008B47E2">
      <w:pPr>
        <w:spacing w:after="0"/>
        <w:contextualSpacing/>
        <w:jc w:val="both"/>
        <w:rPr>
          <w:b/>
          <w:color w:val="auto"/>
        </w:rPr>
      </w:pPr>
    </w:p>
    <w:p w14:paraId="2651C4FF" w14:textId="77777777" w:rsidR="008B47E2" w:rsidRPr="008B47E2" w:rsidRDefault="008B47E2" w:rsidP="008B47E2">
      <w:pPr>
        <w:spacing w:after="0"/>
        <w:contextualSpacing/>
        <w:jc w:val="both"/>
        <w:rPr>
          <w:b/>
          <w:color w:val="auto"/>
        </w:rPr>
      </w:pPr>
    </w:p>
    <w:p w14:paraId="42262E26" w14:textId="06816349" w:rsidR="00431D1A" w:rsidRPr="009271A7" w:rsidRDefault="008B47E2" w:rsidP="00B85989">
      <w:pPr>
        <w:contextualSpacing/>
        <w:rPr>
          <w:b/>
          <w:color w:val="auto"/>
        </w:rPr>
      </w:pPr>
      <w:r>
        <w:rPr>
          <w:b/>
          <w:color w:val="auto"/>
        </w:rPr>
        <w:lastRenderedPageBreak/>
        <w:t>S</w:t>
      </w:r>
      <w:r w:rsidR="00665CCE" w:rsidRPr="009271A7">
        <w:rPr>
          <w:b/>
          <w:color w:val="auto"/>
        </w:rPr>
        <w:t>ummary and recommendation</w:t>
      </w:r>
      <w:r w:rsidR="008D7B7C" w:rsidRPr="009271A7">
        <w:rPr>
          <w:b/>
          <w:color w:val="auto"/>
        </w:rPr>
        <w:t>s</w:t>
      </w:r>
    </w:p>
    <w:p w14:paraId="6B9B47BF" w14:textId="53BBFD02" w:rsidR="008B47E2" w:rsidRDefault="008B47E2" w:rsidP="002C6EF5">
      <w:pPr>
        <w:pStyle w:val="ListParagraph"/>
        <w:numPr>
          <w:ilvl w:val="0"/>
          <w:numId w:val="15"/>
        </w:numPr>
        <w:spacing w:after="0"/>
        <w:jc w:val="both"/>
      </w:pPr>
      <w:r>
        <w:t>Bill Graves, Landlord Services Manager introduced the report, which set out the Council’s Landlord Function self-assessment against the Housing Ombudsman’s Complaint Handling Code. The Panel had reviewed the previous self-assessment in October 2023 against the current standards, however changes were proposed to the self-assessment, which were set out in the report. Following correspondence received by officers earlier in the week, compliance with the broader organisation-wide self-assessment relating to the single complaint handling code would not be a requirement until 2025/26, with reporting commencing in 2026/27. Officers were seeking clarity on what this meant for the Council.</w:t>
      </w:r>
    </w:p>
    <w:p w14:paraId="69C3C190" w14:textId="77777777" w:rsidR="002C6EF5" w:rsidRDefault="002C6EF5" w:rsidP="002C6EF5">
      <w:pPr>
        <w:pStyle w:val="ListParagraph"/>
        <w:numPr>
          <w:ilvl w:val="0"/>
          <w:numId w:val="0"/>
        </w:numPr>
        <w:spacing w:after="0"/>
        <w:ind w:left="720"/>
      </w:pPr>
    </w:p>
    <w:p w14:paraId="1629698A" w14:textId="0679089B" w:rsidR="00CB4640" w:rsidRDefault="007A7325" w:rsidP="006B199A">
      <w:pPr>
        <w:pStyle w:val="ListParagraph"/>
        <w:numPr>
          <w:ilvl w:val="0"/>
          <w:numId w:val="15"/>
        </w:numPr>
        <w:spacing w:after="0"/>
        <w:jc w:val="both"/>
      </w:pPr>
      <w:r>
        <w:t xml:space="preserve">The Panel </w:t>
      </w:r>
      <w:r w:rsidR="008B47E2">
        <w:t>raised a number of points</w:t>
      </w:r>
      <w:r>
        <w:t xml:space="preserve">, including </w:t>
      </w:r>
      <w:r w:rsidR="008B47E2">
        <w:t xml:space="preserve">the need to ensure </w:t>
      </w:r>
      <w:r w:rsidR="002B3C03">
        <w:t xml:space="preserve">the use of </w:t>
      </w:r>
      <w:r w:rsidR="008B47E2">
        <w:t xml:space="preserve">correct language regarding governance and reporting throughout the document; and criteria which were currently marked as ‘non-compliant’ where the Panel felt the Council could state it was at least partially compliant. </w:t>
      </w:r>
    </w:p>
    <w:p w14:paraId="1A6628C2" w14:textId="77777777" w:rsidR="002C6EF5" w:rsidRDefault="002C6EF5" w:rsidP="002C6EF5">
      <w:pPr>
        <w:pStyle w:val="ListParagraph"/>
        <w:numPr>
          <w:ilvl w:val="0"/>
          <w:numId w:val="0"/>
        </w:numPr>
        <w:spacing w:after="0"/>
        <w:ind w:left="360"/>
      </w:pPr>
    </w:p>
    <w:p w14:paraId="5485C254" w14:textId="0D655923" w:rsidR="00183214" w:rsidRDefault="006B199A" w:rsidP="00B85989">
      <w:pPr>
        <w:pStyle w:val="ListParagraph"/>
        <w:numPr>
          <w:ilvl w:val="0"/>
          <w:numId w:val="15"/>
        </w:numPr>
        <w:spacing w:after="0"/>
        <w:jc w:val="both"/>
      </w:pPr>
      <w:r>
        <w:t xml:space="preserve">In particular, </w:t>
      </w:r>
      <w:r w:rsidR="00BA01B8">
        <w:t xml:space="preserve">the Panel </w:t>
      </w:r>
      <w:r w:rsidR="008B47E2">
        <w:t>noted the Housing Ombudsman’s reference to ‘Governing Body’ throughout the self-assessment criteria</w:t>
      </w:r>
      <w:r w:rsidR="0020633E">
        <w:t>. This was not terminology which the Council used, therefore the Panel felt it was important that the Council defined what the term ‘Governing Body’ meant in respect of the Council, to ensure clarity across the organisation.</w:t>
      </w:r>
    </w:p>
    <w:p w14:paraId="7ED16D6A" w14:textId="77777777" w:rsidR="00183214" w:rsidRDefault="00183214" w:rsidP="00183214">
      <w:pPr>
        <w:pStyle w:val="ListParagraph"/>
        <w:numPr>
          <w:ilvl w:val="0"/>
          <w:numId w:val="0"/>
        </w:numPr>
        <w:ind w:left="360"/>
      </w:pPr>
    </w:p>
    <w:p w14:paraId="40162DA8" w14:textId="2C8BD157" w:rsidR="00BA01B8" w:rsidRPr="0020633E" w:rsidRDefault="00A5523F" w:rsidP="00B85989">
      <w:pPr>
        <w:pStyle w:val="ListParagraph"/>
        <w:numPr>
          <w:ilvl w:val="0"/>
          <w:numId w:val="0"/>
        </w:numPr>
        <w:spacing w:after="0"/>
        <w:ind w:left="720"/>
        <w:jc w:val="both"/>
        <w:rPr>
          <w:b/>
          <w:i/>
          <w:iCs/>
        </w:rPr>
      </w:pPr>
      <w:r w:rsidRPr="0020633E">
        <w:rPr>
          <w:b/>
          <w:i/>
          <w:iCs/>
        </w:rPr>
        <w:t xml:space="preserve">Recommendation 1: </w:t>
      </w:r>
      <w:r w:rsidR="0020633E" w:rsidRPr="0020633E">
        <w:rPr>
          <w:rFonts w:cs="Arial"/>
          <w:b/>
          <w:i/>
          <w:iCs/>
        </w:rPr>
        <w:t>That the Council sets out its definition of what the ‘Governing Body’ referred to in the complaint handling code is in respect of the Council, to ensure clarity across the organisation.</w:t>
      </w:r>
    </w:p>
    <w:p w14:paraId="1C9AB0DA" w14:textId="77777777" w:rsidR="00BA01B8" w:rsidRDefault="00BA01B8" w:rsidP="00B85989">
      <w:pPr>
        <w:pStyle w:val="ListParagraph"/>
        <w:numPr>
          <w:ilvl w:val="0"/>
          <w:numId w:val="0"/>
        </w:numPr>
        <w:spacing w:after="0"/>
        <w:ind w:left="720"/>
        <w:jc w:val="both"/>
        <w:rPr>
          <w:b/>
          <w:i/>
          <w:iCs/>
        </w:rPr>
      </w:pPr>
    </w:p>
    <w:p w14:paraId="6791966B" w14:textId="54870366" w:rsidR="002505D5" w:rsidRPr="002505D5" w:rsidRDefault="002505D5" w:rsidP="00CB4640">
      <w:pPr>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EE7410"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6BBD0577"/>
    <w:multiLevelType w:val="hybridMultilevel"/>
    <w:tmpl w:val="ABE645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764D4885"/>
    <w:multiLevelType w:val="hybridMultilevel"/>
    <w:tmpl w:val="AC18B3C2"/>
    <w:lvl w:ilvl="0" w:tplc="8AFC81D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365C6"/>
    <w:multiLevelType w:val="multilevel"/>
    <w:tmpl w:val="E67CE66C"/>
    <w:numStyleLink w:val="StyleNumberedLeft0cmHanging075cm"/>
  </w:abstractNum>
  <w:num w:numId="1" w16cid:durableId="1677222475">
    <w:abstractNumId w:val="0"/>
  </w:num>
  <w:num w:numId="2" w16cid:durableId="9228986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16cid:durableId="1106734351">
    <w:abstractNumId w:val="3"/>
  </w:num>
  <w:num w:numId="4" w16cid:durableId="2083334060">
    <w:abstractNumId w:val="1"/>
  </w:num>
  <w:num w:numId="5" w16cid:durableId="489639360">
    <w:abstractNumId w:val="12"/>
  </w:num>
  <w:num w:numId="6" w16cid:durableId="89931965">
    <w:abstractNumId w:val="7"/>
  </w:num>
  <w:num w:numId="7" w16cid:durableId="975572007">
    <w:abstractNumId w:val="13"/>
  </w:num>
  <w:num w:numId="8" w16cid:durableId="682631280">
    <w:abstractNumId w:val="11"/>
  </w:num>
  <w:num w:numId="9" w16cid:durableId="350183061">
    <w:abstractNumId w:val="5"/>
  </w:num>
  <w:num w:numId="10" w16cid:durableId="556865994">
    <w:abstractNumId w:val="6"/>
  </w:num>
  <w:num w:numId="11" w16cid:durableId="1703554410">
    <w:abstractNumId w:val="8"/>
  </w:num>
  <w:num w:numId="12" w16cid:durableId="2086686993">
    <w:abstractNumId w:val="2"/>
  </w:num>
  <w:num w:numId="13" w16cid:durableId="1835335760">
    <w:abstractNumId w:val="9"/>
  </w:num>
  <w:num w:numId="14" w16cid:durableId="13965829">
    <w:abstractNumId w:val="4"/>
  </w:num>
  <w:num w:numId="15" w16cid:durableId="908347584">
    <w:abstractNumId w:val="15"/>
  </w:num>
  <w:num w:numId="16" w16cid:durableId="225991812">
    <w:abstractNumId w:val="10"/>
  </w:num>
  <w:num w:numId="17" w16cid:durableId="12895088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47A9"/>
    <w:rsid w:val="000117D4"/>
    <w:rsid w:val="000167B9"/>
    <w:rsid w:val="00017BD4"/>
    <w:rsid w:val="00020B4E"/>
    <w:rsid w:val="00023804"/>
    <w:rsid w:val="00024C7A"/>
    <w:rsid w:val="00041080"/>
    <w:rsid w:val="00045F8B"/>
    <w:rsid w:val="000469B5"/>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784"/>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BF8"/>
    <w:rsid w:val="00116FA7"/>
    <w:rsid w:val="00124100"/>
    <w:rsid w:val="0013408E"/>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3214"/>
    <w:rsid w:val="0018619D"/>
    <w:rsid w:val="0019219A"/>
    <w:rsid w:val="001A011E"/>
    <w:rsid w:val="001A066A"/>
    <w:rsid w:val="001A13E6"/>
    <w:rsid w:val="001A5731"/>
    <w:rsid w:val="001A7C4C"/>
    <w:rsid w:val="001B32D3"/>
    <w:rsid w:val="001B42C3"/>
    <w:rsid w:val="001B61EC"/>
    <w:rsid w:val="001B78B2"/>
    <w:rsid w:val="001B7BC5"/>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6D87"/>
    <w:rsid w:val="00200B0D"/>
    <w:rsid w:val="0020633E"/>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3C03"/>
    <w:rsid w:val="002B5CFF"/>
    <w:rsid w:val="002C27B8"/>
    <w:rsid w:val="002C412C"/>
    <w:rsid w:val="002C64F7"/>
    <w:rsid w:val="002C6EF5"/>
    <w:rsid w:val="002C73C0"/>
    <w:rsid w:val="002C751F"/>
    <w:rsid w:val="002D029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52FE"/>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07D"/>
    <w:rsid w:val="00465EAF"/>
    <w:rsid w:val="004711F8"/>
    <w:rsid w:val="004738C5"/>
    <w:rsid w:val="00476579"/>
    <w:rsid w:val="004770BD"/>
    <w:rsid w:val="00482F2B"/>
    <w:rsid w:val="00485076"/>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199A"/>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0FE5"/>
    <w:rsid w:val="008555E5"/>
    <w:rsid w:val="0085587D"/>
    <w:rsid w:val="00855C66"/>
    <w:rsid w:val="00860179"/>
    <w:rsid w:val="00860C57"/>
    <w:rsid w:val="00871EE4"/>
    <w:rsid w:val="0087212C"/>
    <w:rsid w:val="008738B8"/>
    <w:rsid w:val="008774A4"/>
    <w:rsid w:val="00886659"/>
    <w:rsid w:val="00887602"/>
    <w:rsid w:val="0089066F"/>
    <w:rsid w:val="008972DA"/>
    <w:rsid w:val="0089773B"/>
    <w:rsid w:val="008A5117"/>
    <w:rsid w:val="008A71CF"/>
    <w:rsid w:val="008A7582"/>
    <w:rsid w:val="008B2008"/>
    <w:rsid w:val="008B293F"/>
    <w:rsid w:val="008B47E2"/>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523F"/>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02C49"/>
    <w:rsid w:val="00B06580"/>
    <w:rsid w:val="00B10941"/>
    <w:rsid w:val="00B1378F"/>
    <w:rsid w:val="00B14C5B"/>
    <w:rsid w:val="00B14FAE"/>
    <w:rsid w:val="00B17E96"/>
    <w:rsid w:val="00B22270"/>
    <w:rsid w:val="00B24F15"/>
    <w:rsid w:val="00B26366"/>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5989"/>
    <w:rsid w:val="00B86314"/>
    <w:rsid w:val="00B90F07"/>
    <w:rsid w:val="00B970FE"/>
    <w:rsid w:val="00BA01B8"/>
    <w:rsid w:val="00BA1C2E"/>
    <w:rsid w:val="00BA47A8"/>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EA6"/>
    <w:rsid w:val="00C24717"/>
    <w:rsid w:val="00C24AB1"/>
    <w:rsid w:val="00C2692F"/>
    <w:rsid w:val="00C3207C"/>
    <w:rsid w:val="00C400E1"/>
    <w:rsid w:val="00C4041C"/>
    <w:rsid w:val="00C41187"/>
    <w:rsid w:val="00C44E5C"/>
    <w:rsid w:val="00C50C06"/>
    <w:rsid w:val="00C63C31"/>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464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5727C"/>
    <w:rsid w:val="00D66704"/>
    <w:rsid w:val="00D67D83"/>
    <w:rsid w:val="00D806E3"/>
    <w:rsid w:val="00D824F9"/>
    <w:rsid w:val="00D869A1"/>
    <w:rsid w:val="00D91685"/>
    <w:rsid w:val="00DA185C"/>
    <w:rsid w:val="00DA2517"/>
    <w:rsid w:val="00DA31D9"/>
    <w:rsid w:val="00DA413F"/>
    <w:rsid w:val="00DA4584"/>
    <w:rsid w:val="00DA614B"/>
    <w:rsid w:val="00DA6DF1"/>
    <w:rsid w:val="00DA778A"/>
    <w:rsid w:val="00DB070F"/>
    <w:rsid w:val="00DB0CC8"/>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410"/>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67D78"/>
    <w:rsid w:val="00F706FB"/>
    <w:rsid w:val="00F724E6"/>
    <w:rsid w:val="00F725BF"/>
    <w:rsid w:val="00F74F53"/>
    <w:rsid w:val="00F7606D"/>
    <w:rsid w:val="00F7672D"/>
    <w:rsid w:val="00F81670"/>
    <w:rsid w:val="00F82024"/>
    <w:rsid w:val="00F842A7"/>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E764-496F-43CA-887B-646AD978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426</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3014</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23</cp:revision>
  <cp:lastPrinted>2019-04-10T11:07:00Z</cp:lastPrinted>
  <dcterms:created xsi:type="dcterms:W3CDTF">2023-04-27T09:32:00Z</dcterms:created>
  <dcterms:modified xsi:type="dcterms:W3CDTF">2024-03-11T14:39:00Z</dcterms:modified>
</cp:coreProperties>
</file>